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932A" w14:textId="77777777" w:rsidR="00F61649" w:rsidRPr="00E45997" w:rsidRDefault="00F61649">
      <w:pPr>
        <w:jc w:val="center"/>
        <w:rPr>
          <w:rFonts w:cs="Times New Roman"/>
        </w:rPr>
      </w:pPr>
      <w:bookmarkStart w:id="0" w:name="_GoBack"/>
      <w:bookmarkEnd w:id="0"/>
    </w:p>
    <w:p w14:paraId="68218BCC" w14:textId="77777777" w:rsidR="00F61649" w:rsidRPr="00E45997" w:rsidRDefault="005C2A70">
      <w:pPr>
        <w:jc w:val="center"/>
        <w:rPr>
          <w:rFonts w:cs="Times New Roman"/>
          <w:b/>
          <w:bCs/>
          <w:caps/>
        </w:rPr>
      </w:pPr>
      <w:r w:rsidRPr="00E45997">
        <w:rPr>
          <w:rFonts w:cs="Times New Roman"/>
          <w:b/>
          <w:bCs/>
          <w:caps/>
        </w:rPr>
        <w:t>Journée d'étude</w:t>
      </w:r>
      <w:r w:rsidR="00E45997" w:rsidRPr="00E45997">
        <w:rPr>
          <w:rFonts w:cs="Times New Roman"/>
          <w:b/>
          <w:bCs/>
          <w:caps/>
        </w:rPr>
        <w:t>s</w:t>
      </w:r>
      <w:r w:rsidRPr="00E45997">
        <w:rPr>
          <w:rFonts w:cs="Times New Roman"/>
          <w:b/>
          <w:bCs/>
          <w:caps/>
        </w:rPr>
        <w:t xml:space="preserve"> </w:t>
      </w:r>
    </w:p>
    <w:p w14:paraId="69FCED45" w14:textId="77777777" w:rsidR="00F61649" w:rsidRPr="00E45997" w:rsidRDefault="005C2A70">
      <w:pPr>
        <w:jc w:val="center"/>
        <w:rPr>
          <w:rFonts w:cs="Times New Roman"/>
          <w:b/>
          <w:bCs/>
          <w:caps/>
        </w:rPr>
      </w:pPr>
      <w:r w:rsidRPr="00E45997">
        <w:rPr>
          <w:rFonts w:cs="Times New Roman"/>
          <w:b/>
          <w:bCs/>
          <w:caps/>
        </w:rPr>
        <w:t>« Gogol, l'imposteur »</w:t>
      </w:r>
    </w:p>
    <w:p w14:paraId="272759F1" w14:textId="77777777" w:rsidR="00E45997" w:rsidRDefault="00E45997">
      <w:pPr>
        <w:jc w:val="center"/>
        <w:rPr>
          <w:rFonts w:cs="Times New Roman"/>
          <w:b/>
          <w:bCs/>
          <w:caps/>
        </w:rPr>
      </w:pPr>
    </w:p>
    <w:p w14:paraId="2BB23F47" w14:textId="77777777" w:rsidR="005C2A70" w:rsidRPr="00E45997" w:rsidRDefault="005C2A70">
      <w:pPr>
        <w:jc w:val="center"/>
        <w:rPr>
          <w:rFonts w:cs="Times New Roman"/>
          <w:b/>
          <w:bCs/>
          <w:caps/>
        </w:rPr>
      </w:pPr>
      <w:r w:rsidRPr="00E45997">
        <w:rPr>
          <w:rFonts w:cs="Times New Roman"/>
          <w:b/>
          <w:bCs/>
          <w:caps/>
        </w:rPr>
        <w:t>Jeudi 11 Février 2021</w:t>
      </w:r>
    </w:p>
    <w:p w14:paraId="703260A1" w14:textId="77777777" w:rsidR="00F61649" w:rsidRPr="00E45997" w:rsidRDefault="005C2A70">
      <w:pPr>
        <w:jc w:val="center"/>
        <w:rPr>
          <w:rFonts w:cs="Times New Roman"/>
          <w:b/>
          <w:bCs/>
          <w:caps/>
        </w:rPr>
      </w:pPr>
      <w:r w:rsidRPr="00E45997">
        <w:rPr>
          <w:rFonts w:cs="Times New Roman"/>
          <w:b/>
          <w:bCs/>
          <w:caps/>
        </w:rPr>
        <w:t>Inalco, Paris</w:t>
      </w:r>
    </w:p>
    <w:p w14:paraId="57B1F886" w14:textId="77777777" w:rsidR="005C2A70" w:rsidRPr="00E45997" w:rsidRDefault="005C2A70">
      <w:pPr>
        <w:jc w:val="center"/>
        <w:rPr>
          <w:rFonts w:cs="Times New Roman"/>
          <w:b/>
          <w:bCs/>
          <w:caps/>
        </w:rPr>
      </w:pPr>
    </w:p>
    <w:p w14:paraId="61980638" w14:textId="77777777" w:rsidR="005C2A70" w:rsidRPr="00E45997" w:rsidRDefault="005C2A70">
      <w:pPr>
        <w:jc w:val="center"/>
        <w:rPr>
          <w:rFonts w:cs="Times New Roman"/>
          <w:b/>
          <w:bCs/>
          <w:caps/>
        </w:rPr>
      </w:pPr>
      <w:r w:rsidRPr="00E45997">
        <w:rPr>
          <w:rFonts w:cs="Times New Roman"/>
          <w:b/>
          <w:bCs/>
          <w:caps/>
        </w:rPr>
        <w:t>Appel à contributions</w:t>
      </w:r>
    </w:p>
    <w:p w14:paraId="20336E82" w14:textId="77777777" w:rsidR="00F61649" w:rsidRPr="00E45997" w:rsidRDefault="00F61649">
      <w:pPr>
        <w:rPr>
          <w:rFonts w:cs="Times New Roman"/>
        </w:rPr>
      </w:pPr>
    </w:p>
    <w:p w14:paraId="702334BC" w14:textId="77777777" w:rsidR="00F61649" w:rsidRPr="00E45997" w:rsidRDefault="00F61649">
      <w:pPr>
        <w:ind w:firstLine="289"/>
        <w:jc w:val="both"/>
        <w:rPr>
          <w:rFonts w:cs="Times New Roman"/>
        </w:rPr>
      </w:pPr>
    </w:p>
    <w:p w14:paraId="11AB0364" w14:textId="2EBA449E" w:rsidR="00F61649" w:rsidRPr="00E45997" w:rsidRDefault="005C2A70">
      <w:pPr>
        <w:ind w:firstLine="289"/>
        <w:jc w:val="both"/>
        <w:rPr>
          <w:rFonts w:cs="Times New Roman"/>
        </w:rPr>
      </w:pPr>
      <w:r w:rsidRPr="00E45997">
        <w:rPr>
          <w:rFonts w:cs="Times New Roman"/>
        </w:rPr>
        <w:t xml:space="preserve">Le nom de Nikolaï Gogol est communément associé aux notions d'énigme, d'absence et de fuite, qu'il s'agisse </w:t>
      </w:r>
      <w:r w:rsidR="00F80158">
        <w:rPr>
          <w:rFonts w:cs="Times New Roman"/>
        </w:rPr>
        <w:t>de son œuvre ou de sa vie,</w:t>
      </w:r>
      <w:r w:rsidRPr="00E45997">
        <w:rPr>
          <w:rFonts w:cs="Times New Roman"/>
        </w:rPr>
        <w:t xml:space="preserve"> telle qu'elle se reflète dans les témoignages de ses contemporains. Dans l'une comme dans l'autre apparaît une « conscience labyrinthique » qui, </w:t>
      </w:r>
      <w:r w:rsidR="00E45997">
        <w:rPr>
          <w:rFonts w:cs="Times New Roman"/>
        </w:rPr>
        <w:t>selon</w:t>
      </w:r>
      <w:r w:rsidRPr="00E45997">
        <w:rPr>
          <w:rFonts w:cs="Times New Roman"/>
        </w:rPr>
        <w:t xml:space="preserve"> Vladimir </w:t>
      </w:r>
      <w:proofErr w:type="spellStart"/>
      <w:r w:rsidRPr="00E45997">
        <w:rPr>
          <w:rFonts w:cs="Times New Roman"/>
        </w:rPr>
        <w:t>Jankelevitch</w:t>
      </w:r>
      <w:proofErr w:type="spellEnd"/>
      <w:r w:rsidRPr="00E45997">
        <w:rPr>
          <w:rFonts w:cs="Times New Roman"/>
        </w:rPr>
        <w:t xml:space="preserve">, est à la fois celle du menteur et de l'ironiste. Gogol l'imposteur, c'est l'écrivain qui surveille toujours avec effroi son propre effet (Abram </w:t>
      </w:r>
      <w:proofErr w:type="spellStart"/>
      <w:r w:rsidRPr="00E45997">
        <w:rPr>
          <w:rFonts w:cs="Times New Roman"/>
        </w:rPr>
        <w:t>Tertz</w:t>
      </w:r>
      <w:proofErr w:type="spellEnd"/>
      <w:r w:rsidRPr="00E45997">
        <w:rPr>
          <w:rFonts w:cs="Times New Roman"/>
        </w:rPr>
        <w:t xml:space="preserve">), c'est l'illusionniste et le mystificateur, capable d'édifier jusque dans sa correspondance des mensonges compliqués et inutiles : c’est, à la fois, un « enchanteur » et un « imitateur » (Viktor </w:t>
      </w:r>
      <w:proofErr w:type="spellStart"/>
      <w:r w:rsidRPr="00E45997">
        <w:rPr>
          <w:rFonts w:cs="Times New Roman"/>
        </w:rPr>
        <w:t>Erlich</w:t>
      </w:r>
      <w:proofErr w:type="spellEnd"/>
      <w:r w:rsidRPr="00E45997">
        <w:rPr>
          <w:rFonts w:cs="Times New Roman"/>
        </w:rPr>
        <w:t>).</w:t>
      </w:r>
    </w:p>
    <w:p w14:paraId="68ADC6CD" w14:textId="77777777" w:rsidR="00F61649" w:rsidRPr="00E45997" w:rsidRDefault="00F61649">
      <w:pPr>
        <w:ind w:firstLine="289"/>
        <w:jc w:val="both"/>
        <w:rPr>
          <w:rFonts w:cs="Times New Roman"/>
        </w:rPr>
      </w:pPr>
    </w:p>
    <w:p w14:paraId="6DB09E81" w14:textId="77777777" w:rsidR="00F61649" w:rsidRPr="00E45997" w:rsidRDefault="00E45997">
      <w:pPr>
        <w:ind w:firstLine="289"/>
        <w:jc w:val="both"/>
        <w:rPr>
          <w:rFonts w:cs="Times New Roman"/>
        </w:rPr>
      </w:pPr>
      <w:r>
        <w:rPr>
          <w:rFonts w:cs="Times New Roman"/>
        </w:rPr>
        <w:t>La notion d’</w:t>
      </w:r>
      <w:r w:rsidR="005C2A70" w:rsidRPr="00E45997">
        <w:rPr>
          <w:rFonts w:cs="Times New Roman"/>
        </w:rPr>
        <w:t xml:space="preserve">imposture </w:t>
      </w:r>
      <w:r>
        <w:rPr>
          <w:rFonts w:cs="Times New Roman"/>
        </w:rPr>
        <w:t>qui donne son titre à</w:t>
      </w:r>
      <w:r w:rsidR="005C2A70" w:rsidRPr="00E45997">
        <w:rPr>
          <w:rFonts w:cs="Times New Roman"/>
        </w:rPr>
        <w:t xml:space="preserve"> cette Journée d’études ne correspond pas à un terme strictement équivalent en russe. Il semble bien qu'à </w:t>
      </w:r>
      <w:proofErr w:type="spellStart"/>
      <w:r w:rsidR="005C2A70" w:rsidRPr="00E45997">
        <w:rPr>
          <w:rFonts w:cs="Times New Roman"/>
          <w:i/>
          <w:iCs/>
        </w:rPr>
        <w:t>samozvantstvo</w:t>
      </w:r>
      <w:proofErr w:type="spellEnd"/>
      <w:r w:rsidR="005C2A70" w:rsidRPr="00E45997">
        <w:rPr>
          <w:rFonts w:cs="Times New Roman"/>
        </w:rPr>
        <w:t xml:space="preserve"> – terme rattaché dans l'histoire russe à la prolifération des faux tsars pendant le temps des Troubles, il faille préférer le terme générique </w:t>
      </w:r>
      <w:proofErr w:type="spellStart"/>
      <w:r w:rsidR="005C2A70" w:rsidRPr="00E45997">
        <w:rPr>
          <w:rFonts w:cs="Times New Roman"/>
          <w:i/>
          <w:iCs/>
        </w:rPr>
        <w:t>obman</w:t>
      </w:r>
      <w:proofErr w:type="spellEnd"/>
      <w:r w:rsidR="005C2A70" w:rsidRPr="00E45997">
        <w:rPr>
          <w:rFonts w:cs="Times New Roman"/>
        </w:rPr>
        <w:t xml:space="preserve">, notion qui englobe les champs lexicaux du mensonge et de l'illusion. En effet, le mensonge </w:t>
      </w:r>
      <w:r w:rsidR="005C2A70" w:rsidRPr="00E45997">
        <w:rPr>
          <w:rFonts w:cs="Times New Roman"/>
          <w:iCs/>
        </w:rPr>
        <w:t> (</w:t>
      </w:r>
      <w:r w:rsidR="005C2A70" w:rsidRPr="00E45997">
        <w:rPr>
          <w:rFonts w:cs="Times New Roman"/>
          <w:i/>
          <w:iCs/>
          <w:lang w:val="cs-CZ"/>
        </w:rPr>
        <w:t>lož'</w:t>
      </w:r>
      <w:r w:rsidR="005C2A70" w:rsidRPr="00E45997">
        <w:rPr>
          <w:rFonts w:cs="Times New Roman"/>
          <w:iCs/>
        </w:rPr>
        <w:t>)</w:t>
      </w:r>
      <w:r w:rsidR="005C2A70" w:rsidRPr="00E45997">
        <w:rPr>
          <w:rFonts w:cs="Times New Roman"/>
        </w:rPr>
        <w:t>, comme intention de tromper, est un premier fondement de l'imposture ; l'illusion (</w:t>
      </w:r>
      <w:proofErr w:type="spellStart"/>
      <w:r w:rsidR="005C2A70" w:rsidRPr="00E45997">
        <w:rPr>
          <w:rFonts w:cs="Times New Roman"/>
          <w:i/>
          <w:iCs/>
        </w:rPr>
        <w:t>illjuzija</w:t>
      </w:r>
      <w:proofErr w:type="spellEnd"/>
      <w:r w:rsidR="005C2A70" w:rsidRPr="00E45997">
        <w:rPr>
          <w:rFonts w:cs="Times New Roman"/>
        </w:rPr>
        <w:t xml:space="preserve">, mais aussi </w:t>
      </w:r>
      <w:r w:rsidR="005C2A70" w:rsidRPr="00E45997">
        <w:rPr>
          <w:rFonts w:cs="Times New Roman"/>
          <w:i/>
          <w:iCs/>
          <w:lang w:val="cs-CZ"/>
        </w:rPr>
        <w:t>mečt</w:t>
      </w:r>
      <w:r w:rsidR="005C2A70" w:rsidRPr="00E45997">
        <w:rPr>
          <w:rFonts w:cs="Times New Roman"/>
          <w:i/>
          <w:iCs/>
        </w:rPr>
        <w:t>a</w:t>
      </w:r>
      <w:r w:rsidR="005C2A70" w:rsidRPr="00E45997">
        <w:rPr>
          <w:rFonts w:cs="Times New Roman"/>
        </w:rPr>
        <w:t xml:space="preserve"> et</w:t>
      </w:r>
      <w:r w:rsidR="005C2A70" w:rsidRPr="00E45997">
        <w:rPr>
          <w:rFonts w:cs="Times New Roman"/>
          <w:i/>
          <w:iCs/>
        </w:rPr>
        <w:t> </w:t>
      </w:r>
      <w:proofErr w:type="spellStart"/>
      <w:r w:rsidR="005C2A70" w:rsidRPr="00E45997">
        <w:rPr>
          <w:rFonts w:cs="Times New Roman"/>
          <w:i/>
          <w:iCs/>
        </w:rPr>
        <w:t>prelest</w:t>
      </w:r>
      <w:proofErr w:type="spellEnd"/>
      <w:r w:rsidR="005C2A70" w:rsidRPr="00E45997">
        <w:rPr>
          <w:rFonts w:cs="Times New Roman"/>
          <w:i/>
          <w:iCs/>
        </w:rPr>
        <w:t>'</w:t>
      </w:r>
      <w:r w:rsidR="005C2A70" w:rsidRPr="00E45997">
        <w:rPr>
          <w:rFonts w:cs="Times New Roman"/>
          <w:iCs/>
        </w:rPr>
        <w:t>)</w:t>
      </w:r>
      <w:r w:rsidR="005C2A70" w:rsidRPr="00E45997">
        <w:rPr>
          <w:rFonts w:cs="Times New Roman"/>
        </w:rPr>
        <w:t xml:space="preserve">, comme tromperie de soi-même, en est le second fondement. L'un et l'autre sont intrinsèques au monde fictionnel de Gogol, que Iouri </w:t>
      </w:r>
      <w:proofErr w:type="spellStart"/>
      <w:r w:rsidR="005C2A70" w:rsidRPr="00E45997">
        <w:rPr>
          <w:rFonts w:cs="Times New Roman"/>
        </w:rPr>
        <w:t>Lotman</w:t>
      </w:r>
      <w:proofErr w:type="spellEnd"/>
      <w:r w:rsidR="005C2A70" w:rsidRPr="00E45997">
        <w:rPr>
          <w:rFonts w:cs="Times New Roman"/>
        </w:rPr>
        <w:t xml:space="preserve"> qualifie de « pseudo-monde », notamment dans les récits pétersbourgeois : un monde qui fait seulement semblant d'exister, et auquel correspond une écriture qui reflète cette pseudo-consistance.</w:t>
      </w:r>
    </w:p>
    <w:p w14:paraId="2BBDBA9E" w14:textId="77777777" w:rsidR="00F61649" w:rsidRPr="00E45997" w:rsidRDefault="00F61649">
      <w:pPr>
        <w:ind w:firstLine="289"/>
        <w:jc w:val="both"/>
        <w:rPr>
          <w:rFonts w:cs="Times New Roman"/>
        </w:rPr>
      </w:pPr>
    </w:p>
    <w:p w14:paraId="28AD0DB3" w14:textId="2AD78206" w:rsidR="00F61649" w:rsidRPr="00E45997" w:rsidRDefault="005C2A70">
      <w:pPr>
        <w:ind w:firstLine="289"/>
        <w:jc w:val="both"/>
        <w:rPr>
          <w:rFonts w:cs="Times New Roman"/>
        </w:rPr>
      </w:pPr>
      <w:r w:rsidRPr="00E45997">
        <w:rPr>
          <w:rFonts w:cs="Times New Roman"/>
        </w:rPr>
        <w:t>Les masques verbaux dont use Gogol semblent en effet ca</w:t>
      </w:r>
      <w:r w:rsidR="00E45997">
        <w:rPr>
          <w:rFonts w:cs="Times New Roman"/>
        </w:rPr>
        <w:t>lculés pour égarer le lecteur ; ils génèrent</w:t>
      </w:r>
      <w:r w:rsidRPr="00E45997">
        <w:rPr>
          <w:rFonts w:cs="Times New Roman"/>
        </w:rPr>
        <w:t xml:space="preserve"> chez lui le sentiment qu'il se trouve face à des textes qui échappent ou résistent aux efforts herméneutiques, parfois de manière tout à fait explicite, comme à la fin du </w:t>
      </w:r>
      <w:r w:rsidRPr="00E45997">
        <w:rPr>
          <w:rFonts w:cs="Times New Roman"/>
          <w:i/>
          <w:iCs/>
        </w:rPr>
        <w:t>Nez</w:t>
      </w:r>
      <w:r w:rsidRPr="00E45997">
        <w:rPr>
          <w:rFonts w:cs="Times New Roman"/>
        </w:rPr>
        <w:t xml:space="preserve"> par exemple. De manière oblique, le lecteur est invité à produire du sens à partir de récits en apparence absurdes, où prolifèrent les </w:t>
      </w:r>
      <w:proofErr w:type="spellStart"/>
      <w:r w:rsidRPr="00E45997">
        <w:rPr>
          <w:rFonts w:cs="Times New Roman"/>
        </w:rPr>
        <w:t>alogismes</w:t>
      </w:r>
      <w:proofErr w:type="spellEnd"/>
      <w:r w:rsidRPr="00E45997">
        <w:rPr>
          <w:rFonts w:cs="Times New Roman"/>
        </w:rPr>
        <w:t xml:space="preserve"> et les associations incongrues, eux-mêmes greffés sur des sujets souvent tirés de la culture populaire russe et ukrainienne, par l'intermédiaire du théâtre de marionnettes ou du </w:t>
      </w:r>
      <w:proofErr w:type="spellStart"/>
      <w:r w:rsidRPr="00E45997">
        <w:rPr>
          <w:rFonts w:cs="Times New Roman"/>
          <w:i/>
          <w:iCs/>
        </w:rPr>
        <w:t>lubok</w:t>
      </w:r>
      <w:proofErr w:type="spellEnd"/>
      <w:r w:rsidR="00F80158">
        <w:rPr>
          <w:rFonts w:cs="Times New Roman"/>
        </w:rPr>
        <w:t xml:space="preserve"> qui deviennent à leur tour autant de masques.</w:t>
      </w:r>
      <w:r w:rsidRPr="00E45997">
        <w:rPr>
          <w:rFonts w:cs="Times New Roman"/>
        </w:rPr>
        <w:t xml:space="preserve"> </w:t>
      </w:r>
    </w:p>
    <w:p w14:paraId="11F35EC0" w14:textId="77777777" w:rsidR="00F61649" w:rsidRPr="00E45997" w:rsidRDefault="00F61649">
      <w:pPr>
        <w:jc w:val="both"/>
        <w:rPr>
          <w:rFonts w:cs="Times New Roman"/>
        </w:rPr>
      </w:pPr>
    </w:p>
    <w:p w14:paraId="4086B39B" w14:textId="77777777" w:rsidR="00F61649" w:rsidRPr="00E45997" w:rsidRDefault="005C2A70">
      <w:pPr>
        <w:ind w:firstLine="289"/>
        <w:jc w:val="both"/>
        <w:rPr>
          <w:rFonts w:cs="Times New Roman"/>
        </w:rPr>
      </w:pPr>
      <w:r w:rsidRPr="00E45997">
        <w:rPr>
          <w:rFonts w:cs="Times New Roman"/>
        </w:rPr>
        <w:t>Différents axes sont possibles pour approcher Gogol l'imposteur, et cette exploration pourrait emprunter les chemins suivants, suggérés à titre indicatif :</w:t>
      </w:r>
    </w:p>
    <w:p w14:paraId="0AA52292" w14:textId="77777777" w:rsidR="00F61649" w:rsidRPr="00E45997" w:rsidRDefault="00F61649">
      <w:pPr>
        <w:jc w:val="both"/>
        <w:rPr>
          <w:rFonts w:cs="Times New Roman"/>
        </w:rPr>
      </w:pPr>
    </w:p>
    <w:p w14:paraId="7C2BE5AB" w14:textId="3320817E" w:rsidR="00F61649" w:rsidRPr="00E45997" w:rsidRDefault="005C2A70">
      <w:pPr>
        <w:jc w:val="both"/>
        <w:rPr>
          <w:rFonts w:cs="Times New Roman"/>
        </w:rPr>
      </w:pPr>
      <w:r w:rsidRPr="00E45997">
        <w:rPr>
          <w:rFonts w:cs="Times New Roman"/>
        </w:rPr>
        <w:t xml:space="preserve">- Les impostures narratives : </w:t>
      </w:r>
      <w:r w:rsidRPr="00E45997">
        <w:rPr>
          <w:rFonts w:cs="Times New Roman"/>
          <w:color w:val="000000"/>
        </w:rPr>
        <w:t xml:space="preserve">les masques narratifs et les illusions du </w:t>
      </w:r>
      <w:proofErr w:type="spellStart"/>
      <w:r w:rsidRPr="00E45997">
        <w:rPr>
          <w:rFonts w:cs="Times New Roman"/>
          <w:i/>
          <w:iCs/>
          <w:color w:val="000000"/>
        </w:rPr>
        <w:t>skaz</w:t>
      </w:r>
      <w:proofErr w:type="spellEnd"/>
      <w:r w:rsidRPr="00E45997">
        <w:rPr>
          <w:rFonts w:cs="Times New Roman"/>
          <w:color w:val="FF0000"/>
        </w:rPr>
        <w:t> </w:t>
      </w:r>
      <w:r w:rsidRPr="00E45997">
        <w:rPr>
          <w:rFonts w:cs="Times New Roman"/>
        </w:rPr>
        <w:t>; les défis au lecteur, sous forme d'excès descriptifs et d'accumulations, base d'une « poétique de l'</w:t>
      </w:r>
      <w:r w:rsidR="00F80158">
        <w:rPr>
          <w:rFonts w:cs="Times New Roman"/>
        </w:rPr>
        <w:t xml:space="preserve">insignifiance » (Cathy </w:t>
      </w:r>
      <w:proofErr w:type="spellStart"/>
      <w:r w:rsidR="00F80158">
        <w:rPr>
          <w:rFonts w:cs="Times New Roman"/>
        </w:rPr>
        <w:t>Popkin</w:t>
      </w:r>
      <w:proofErr w:type="spellEnd"/>
      <w:r w:rsidR="00F80158">
        <w:rPr>
          <w:rFonts w:cs="Times New Roman"/>
        </w:rPr>
        <w:t>).</w:t>
      </w:r>
    </w:p>
    <w:p w14:paraId="3B16DEE3" w14:textId="0DAB56A9" w:rsidR="00F61649" w:rsidRPr="00E45997" w:rsidRDefault="005C2A70">
      <w:pPr>
        <w:jc w:val="both"/>
        <w:rPr>
          <w:rFonts w:cs="Times New Roman"/>
        </w:rPr>
      </w:pPr>
      <w:r w:rsidRPr="00E45997">
        <w:rPr>
          <w:rFonts w:cs="Times New Roman"/>
        </w:rPr>
        <w:t>- Les</w:t>
      </w:r>
      <w:r w:rsidRPr="00E45997">
        <w:rPr>
          <w:rFonts w:cs="Times New Roman"/>
          <w:i/>
          <w:iCs/>
        </w:rPr>
        <w:t xml:space="preserve"> Extraits choisis de ma correspondance avec mes amis</w:t>
      </w:r>
      <w:r w:rsidRPr="00E45997">
        <w:rPr>
          <w:rFonts w:cs="Times New Roman"/>
        </w:rPr>
        <w:t> : cas d'auto-parodie, cas d'imposture ? Gogol est traité de Tartuffe au moment</w:t>
      </w:r>
      <w:r w:rsidR="00F80158">
        <w:rPr>
          <w:rFonts w:cs="Times New Roman"/>
        </w:rPr>
        <w:t xml:space="preserve"> où il se veut le plus sincère.</w:t>
      </w:r>
    </w:p>
    <w:p w14:paraId="7771776A" w14:textId="77EA94AA" w:rsidR="00F61649" w:rsidRPr="00F80158" w:rsidRDefault="005C2A70">
      <w:pPr>
        <w:jc w:val="both"/>
        <w:rPr>
          <w:rFonts w:cs="Times New Roman"/>
        </w:rPr>
      </w:pPr>
      <w:r w:rsidRPr="00E45997">
        <w:rPr>
          <w:rFonts w:cs="Times New Roman"/>
        </w:rPr>
        <w:t>-</w:t>
      </w:r>
      <w:r w:rsidR="0031248A">
        <w:rPr>
          <w:rFonts w:cs="Times New Roman"/>
        </w:rPr>
        <w:t xml:space="preserve"> Les personnages inconsistants (</w:t>
      </w:r>
      <w:r w:rsidRPr="00E45997">
        <w:rPr>
          <w:rFonts w:cs="Times New Roman"/>
        </w:rPr>
        <w:t xml:space="preserve">souvent dérivés de figures du théâtre populaire ou du </w:t>
      </w:r>
      <w:proofErr w:type="spellStart"/>
      <w:r w:rsidR="00F80158">
        <w:rPr>
          <w:rFonts w:cs="Times New Roman"/>
          <w:i/>
          <w:iCs/>
        </w:rPr>
        <w:t>lubok</w:t>
      </w:r>
      <w:proofErr w:type="spellEnd"/>
      <w:r w:rsidR="0031248A">
        <w:rPr>
          <w:rFonts w:cs="Times New Roman"/>
          <w:iCs/>
        </w:rPr>
        <w:t>), les simulacres de vie</w:t>
      </w:r>
      <w:r w:rsidR="00F80158">
        <w:rPr>
          <w:rFonts w:cs="Times New Roman"/>
          <w:iCs/>
        </w:rPr>
        <w:t>.</w:t>
      </w:r>
    </w:p>
    <w:p w14:paraId="56FF0C40" w14:textId="579F3BE2" w:rsidR="00F61649" w:rsidRPr="00E45997" w:rsidRDefault="005C2A70">
      <w:pPr>
        <w:jc w:val="both"/>
        <w:rPr>
          <w:rFonts w:cs="Times New Roman"/>
        </w:rPr>
      </w:pPr>
      <w:r w:rsidRPr="00E45997">
        <w:rPr>
          <w:rFonts w:cs="Times New Roman"/>
        </w:rPr>
        <w:t xml:space="preserve">- La dialectique du masque et du visage, et en particulier l'ambiguïté du masque : forme inerte </w:t>
      </w:r>
      <w:r w:rsidRPr="00E45997">
        <w:rPr>
          <w:rFonts w:cs="Times New Roman"/>
        </w:rPr>
        <w:lastRenderedPageBreak/>
        <w:t>qui manifeste une âme morte, dissimulation d'une profondeur, forme inanimée qui contrefait l</w:t>
      </w:r>
      <w:r w:rsidR="00F80158">
        <w:rPr>
          <w:rFonts w:cs="Times New Roman"/>
        </w:rPr>
        <w:t>e vivant et se substitue à lui.</w:t>
      </w:r>
    </w:p>
    <w:p w14:paraId="1185DF13" w14:textId="1E606796" w:rsidR="00F61649" w:rsidRPr="00E45997" w:rsidRDefault="0031248A">
      <w:pPr>
        <w:jc w:val="both"/>
        <w:rPr>
          <w:rFonts w:cs="Times New Roman"/>
        </w:rPr>
      </w:pPr>
      <w:r>
        <w:rPr>
          <w:rFonts w:cs="Times New Roman"/>
        </w:rPr>
        <w:t xml:space="preserve">- La théâtralité et l'illusion, les masques du baroque. </w:t>
      </w:r>
    </w:p>
    <w:p w14:paraId="57CB9DFD" w14:textId="77777777" w:rsidR="00F61649" w:rsidRPr="00E45997" w:rsidRDefault="00F61649">
      <w:pPr>
        <w:jc w:val="both"/>
        <w:rPr>
          <w:rFonts w:cs="Times New Roman"/>
        </w:rPr>
      </w:pPr>
    </w:p>
    <w:p w14:paraId="3978D4B1" w14:textId="77777777" w:rsidR="00F61649" w:rsidRPr="00E45997" w:rsidRDefault="00F61649">
      <w:pPr>
        <w:jc w:val="both"/>
        <w:rPr>
          <w:rFonts w:cs="Times New Roman"/>
        </w:rPr>
      </w:pPr>
    </w:p>
    <w:p w14:paraId="6B8465B6" w14:textId="77777777" w:rsidR="00F61649" w:rsidRDefault="005C2A70">
      <w:pPr>
        <w:jc w:val="both"/>
        <w:rPr>
          <w:rFonts w:cs="Times New Roman"/>
          <w:b/>
          <w:bCs/>
          <w:color w:val="000000"/>
        </w:rPr>
      </w:pPr>
      <w:r w:rsidRPr="00E45997">
        <w:rPr>
          <w:rFonts w:cs="Times New Roman"/>
          <w:b/>
          <w:bCs/>
          <w:color w:val="000000"/>
        </w:rPr>
        <w:t>Les propositions de contributions (1500 signes maximum) sont à envoyer à Catherine Géry et Pierre-Etienne Royer avant le 30 septembre 2020.</w:t>
      </w:r>
    </w:p>
    <w:p w14:paraId="40407C31" w14:textId="77777777" w:rsidR="0031248A" w:rsidRPr="00E45997" w:rsidRDefault="00CE0A8E" w:rsidP="0031248A">
      <w:pPr>
        <w:jc w:val="both"/>
        <w:rPr>
          <w:rFonts w:cs="Times New Roman"/>
        </w:rPr>
      </w:pPr>
      <w:hyperlink r:id="rId4">
        <w:r w:rsidR="0031248A" w:rsidRPr="00E45997">
          <w:rPr>
            <w:rStyle w:val="LienInternet"/>
            <w:rFonts w:cs="Times New Roman"/>
            <w:b/>
            <w:bCs/>
            <w:color w:val="0000FF"/>
          </w:rPr>
          <w:t>catherine.gery@inalco.fr</w:t>
        </w:r>
      </w:hyperlink>
    </w:p>
    <w:p w14:paraId="4E9E86C6" w14:textId="34ECE8EA" w:rsidR="0031248A" w:rsidRPr="0031248A" w:rsidRDefault="00CE0A8E">
      <w:pPr>
        <w:jc w:val="both"/>
        <w:rPr>
          <w:rFonts w:cs="Times New Roman"/>
        </w:rPr>
      </w:pPr>
      <w:hyperlink r:id="rId5">
        <w:r w:rsidR="0031248A" w:rsidRPr="00E45997">
          <w:rPr>
            <w:rStyle w:val="LienInternet"/>
            <w:rFonts w:cs="Times New Roman"/>
            <w:b/>
            <w:bCs/>
            <w:color w:val="0000FF"/>
          </w:rPr>
          <w:t>peroyer165@gmail.com</w:t>
        </w:r>
      </w:hyperlink>
    </w:p>
    <w:p w14:paraId="32A546BA" w14:textId="77777777" w:rsidR="0031248A" w:rsidRDefault="0031248A">
      <w:pPr>
        <w:jc w:val="both"/>
        <w:rPr>
          <w:rFonts w:cs="Times New Roman"/>
          <w:b/>
          <w:bCs/>
          <w:color w:val="000000"/>
        </w:rPr>
      </w:pPr>
    </w:p>
    <w:p w14:paraId="454DB543" w14:textId="6F79F65B" w:rsidR="0031248A" w:rsidRPr="00E45997" w:rsidRDefault="0031248A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Les réponses seront communiquées, après examen des propositions par le comité scientifique, à la fin du mois d’octobre.</w:t>
      </w:r>
    </w:p>
    <w:p w14:paraId="513EE809" w14:textId="77777777" w:rsidR="00F61649" w:rsidRPr="00E45997" w:rsidRDefault="00F61649">
      <w:pPr>
        <w:jc w:val="both"/>
        <w:rPr>
          <w:rFonts w:cs="Times New Roman"/>
        </w:rPr>
      </w:pPr>
    </w:p>
    <w:p w14:paraId="09971D86" w14:textId="77777777" w:rsidR="0031248A" w:rsidRDefault="0031248A"/>
    <w:sectPr w:rsidR="0031248A" w:rsidSect="00E45997">
      <w:pgSz w:w="11906" w:h="16838"/>
      <w:pgMar w:top="1418" w:right="1418" w:bottom="1418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49"/>
    <w:rsid w:val="0031248A"/>
    <w:rsid w:val="005C2A70"/>
    <w:rsid w:val="00CE0A8E"/>
    <w:rsid w:val="00E45997"/>
    <w:rsid w:val="00F61649"/>
    <w:rsid w:val="00F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4A750"/>
  <w15:docId w15:val="{A8C98EC2-48B1-46CE-B2BA-AFA085F8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basedOn w:val="Policepardfaut"/>
    <w:uiPriority w:val="99"/>
    <w:unhideWhenUsed/>
    <w:rsid w:val="007311C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7311CE"/>
    <w:rPr>
      <w:color w:val="800080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yer165@gmail.com" TargetMode="External"/><Relationship Id="rId4" Type="http://schemas.openxmlformats.org/officeDocument/2006/relationships/hyperlink" Target="mailto:Catherine.gery@inalc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dc:description/>
  <cp:lastModifiedBy>Utilisateur</cp:lastModifiedBy>
  <cp:revision>2</cp:revision>
  <dcterms:created xsi:type="dcterms:W3CDTF">2020-06-05T10:15:00Z</dcterms:created>
  <dcterms:modified xsi:type="dcterms:W3CDTF">2020-06-05T10:15:00Z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