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9E" w:rsidRDefault="00E529BE">
      <w:bookmarkStart w:id="0" w:name="_GoBack"/>
      <w:bookmarkEnd w:id="0"/>
      <w:r>
        <w:rPr>
          <w:noProof/>
          <w:lang w:eastAsia="ko-K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-80645</wp:posOffset>
            </wp:positionV>
            <wp:extent cx="1997710" cy="11664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28950" cy="151447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D3159E" w:rsidRDefault="00D3159E"/>
    <w:p w:rsidR="00D3159E" w:rsidRDefault="00D3159E"/>
    <w:p w:rsidR="00D3159E" w:rsidRDefault="00D3159E"/>
    <w:p w:rsidR="00D3159E" w:rsidRDefault="00D3159E"/>
    <w:p w:rsidR="00D3159E" w:rsidRDefault="00D3159E"/>
    <w:p w:rsidR="00D3159E" w:rsidRDefault="00E529BE">
      <w:pPr>
        <w:jc w:val="center"/>
        <w:rPr>
          <w:sz w:val="48"/>
          <w:szCs w:val="48"/>
        </w:rPr>
      </w:pPr>
      <w:r>
        <w:rPr>
          <w:b/>
          <w:bCs/>
          <w:color w:val="0066CC"/>
          <w:sz w:val="48"/>
          <w:szCs w:val="48"/>
        </w:rPr>
        <w:t>Séminaire</w:t>
      </w:r>
      <w:r>
        <w:rPr>
          <w:sz w:val="48"/>
          <w:szCs w:val="48"/>
        </w:rPr>
        <w:t xml:space="preserve"> </w:t>
      </w:r>
      <w:r>
        <w:rPr>
          <w:b/>
          <w:bCs/>
          <w:color w:val="0066CC"/>
          <w:sz w:val="48"/>
          <w:szCs w:val="48"/>
        </w:rPr>
        <w:t xml:space="preserve">doctoral </w:t>
      </w:r>
      <w:proofErr w:type="spellStart"/>
      <w:r>
        <w:rPr>
          <w:b/>
          <w:bCs/>
          <w:color w:val="0066CC"/>
          <w:sz w:val="48"/>
          <w:szCs w:val="48"/>
        </w:rPr>
        <w:t>PeTaLes</w:t>
      </w:r>
      <w:proofErr w:type="spellEnd"/>
    </w:p>
    <w:p w:rsidR="00D3159E" w:rsidRDefault="00E529BE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color w:val="0066CC"/>
          <w:sz w:val="26"/>
          <w:szCs w:val="26"/>
        </w:rPr>
        <w:t>(Penser et Traduire autrement les Littératures)</w:t>
      </w:r>
    </w:p>
    <w:p w:rsidR="00D3159E" w:rsidRDefault="00E529BE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color w:val="0066CC"/>
          <w:sz w:val="26"/>
          <w:szCs w:val="26"/>
        </w:rPr>
        <w:t>2019-2020</w:t>
      </w:r>
    </w:p>
    <w:p w:rsidR="00D3159E" w:rsidRDefault="00D3159E">
      <w:pPr>
        <w:spacing w:line="360" w:lineRule="auto"/>
        <w:jc w:val="center"/>
        <w:rPr>
          <w:b/>
          <w:bCs/>
          <w:color w:val="0066CC"/>
        </w:rPr>
      </w:pPr>
    </w:p>
    <w:p w:rsidR="00D3159E" w:rsidRDefault="00E529BE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color w:val="0066CC"/>
          <w:sz w:val="26"/>
          <w:szCs w:val="26"/>
        </w:rPr>
        <w:t xml:space="preserve">Coordonné par Catherine Géry, Marie </w:t>
      </w:r>
      <w:proofErr w:type="spellStart"/>
      <w:r>
        <w:rPr>
          <w:b/>
          <w:bCs/>
          <w:color w:val="0066CC"/>
          <w:sz w:val="26"/>
          <w:szCs w:val="26"/>
        </w:rPr>
        <w:t>Vrinat-Nikolov</w:t>
      </w:r>
      <w:proofErr w:type="spellEnd"/>
      <w:r>
        <w:rPr>
          <w:b/>
          <w:bCs/>
          <w:color w:val="0066CC"/>
          <w:sz w:val="26"/>
          <w:szCs w:val="26"/>
        </w:rPr>
        <w:t xml:space="preserve"> et Louis </w:t>
      </w:r>
      <w:proofErr w:type="spellStart"/>
      <w:r>
        <w:rPr>
          <w:b/>
          <w:bCs/>
          <w:color w:val="0066CC"/>
          <w:sz w:val="26"/>
          <w:szCs w:val="26"/>
        </w:rPr>
        <w:t>Watier</w:t>
      </w:r>
      <w:proofErr w:type="spellEnd"/>
    </w:p>
    <w:p w:rsidR="00D3159E" w:rsidRDefault="00D3159E">
      <w:pPr>
        <w:spacing w:line="360" w:lineRule="auto"/>
        <w:jc w:val="center"/>
        <w:rPr>
          <w:b/>
          <w:bCs/>
          <w:color w:val="0066CC"/>
        </w:rPr>
      </w:pPr>
    </w:p>
    <w:p w:rsidR="00D3159E" w:rsidRDefault="00E529BE">
      <w:pPr>
        <w:spacing w:line="360" w:lineRule="auto"/>
        <w:jc w:val="both"/>
      </w:pPr>
      <w:r>
        <w:rPr>
          <w:b/>
          <w:bCs/>
          <w:color w:val="0066CC"/>
          <w:sz w:val="26"/>
          <w:szCs w:val="26"/>
        </w:rPr>
        <w:tab/>
      </w:r>
      <w:r>
        <w:t xml:space="preserve">L'histoire culturelle, l'étude des transferts culturels, la </w:t>
      </w:r>
      <w:r>
        <w:rPr>
          <w:i/>
        </w:rPr>
        <w:t xml:space="preserve">World </w:t>
      </w:r>
      <w:proofErr w:type="spellStart"/>
      <w:r>
        <w:rPr>
          <w:i/>
        </w:rPr>
        <w:t>Literature</w:t>
      </w:r>
      <w:proofErr w:type="spellEnd"/>
      <w:r>
        <w:t xml:space="preserve">, les études postcoloniales et autres </w:t>
      </w:r>
      <w:proofErr w:type="spellStart"/>
      <w:r>
        <w:rPr>
          <w:i/>
        </w:rPr>
        <w:t>studies</w:t>
      </w:r>
      <w:proofErr w:type="spellEnd"/>
      <w:r>
        <w:t xml:space="preserve"> (</w:t>
      </w:r>
      <w:proofErr w:type="spellStart"/>
      <w:r>
        <w:rPr>
          <w:i/>
        </w:rPr>
        <w:t>subaltern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>….</w:t>
      </w:r>
      <w:r>
        <w:t>) nous invitent à penser autrement les phénomènes littéraires, l’histoire littéraire et la traduction ; à les penser non plus en termes d'influences exercées p</w:t>
      </w:r>
      <w:r>
        <w:t>ar des cultures réputées « centrales » (occidentales) sur des cultures considérées comme « périphériques », ni en termes d'identités nationales plus ou moins stables et fermées, mais en termes de circulation, de métissage, d’hybridation. Le séminaire consi</w:t>
      </w:r>
      <w:r>
        <w:t>dérera aussi bien les</w:t>
      </w:r>
      <w:r>
        <w:rPr>
          <w:i/>
        </w:rPr>
        <w:t xml:space="preserve"> textes</w:t>
      </w:r>
      <w:r>
        <w:t xml:space="preserve"> que les </w:t>
      </w:r>
      <w:r>
        <w:rPr>
          <w:i/>
        </w:rPr>
        <w:t>aires culturelles</w:t>
      </w:r>
      <w:r>
        <w:t xml:space="preserve"> comme des lieux de passage ouverts aux dynamiques et aux contacts transnationaux. Si les notions de centre et de périphéries fonctionnent lorsqu'il s'agit d'observer les luttes pour acquérir légitimité</w:t>
      </w:r>
      <w:r>
        <w:t xml:space="preserve"> et consécration au sein du champ littéraire mondial, elles sont à relativiser lorsqu'on s'intéresse aux dynamiques des circulations et des échanges entre acteurs, idées et textes, qui se font dans des directions multiples. Le séminaire appelle donc à un d</w:t>
      </w:r>
      <w:r>
        <w:t>écentrement des approches critiques, du regard et des pratiques.</w:t>
      </w:r>
    </w:p>
    <w:p w:rsidR="00D3159E" w:rsidRDefault="00D3159E">
      <w:pPr>
        <w:spacing w:line="360" w:lineRule="auto"/>
        <w:jc w:val="both"/>
      </w:pPr>
    </w:p>
    <w:p w:rsidR="00D3159E" w:rsidRDefault="00E529B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</w:rPr>
        <w:t xml:space="preserve">Programme </w:t>
      </w:r>
      <w:r>
        <w:t>(les séances ont lieu de 17h30 à 19h30)</w:t>
      </w:r>
      <w:r>
        <w:rPr>
          <w:b/>
          <w:bCs/>
        </w:rPr>
        <w:t xml:space="preserve"> : 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t xml:space="preserve">27/11/2019, salle 3.11 </w:t>
      </w:r>
      <w:r>
        <w:t>Présentation par les trois organisateurs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t>18/12/2019, salle 3.11</w:t>
      </w:r>
      <w:r>
        <w:t xml:space="preserve"> Marcel </w:t>
      </w:r>
      <w:proofErr w:type="spellStart"/>
      <w:r>
        <w:t>Courthiade</w:t>
      </w:r>
      <w:proofErr w:type="spellEnd"/>
      <w:r>
        <w:t> : les littératures romani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t>29/01/</w:t>
      </w:r>
      <w:r>
        <w:rPr>
          <w:b/>
          <w:bCs/>
        </w:rPr>
        <w:t xml:space="preserve">2020, salle 3.15 </w:t>
      </w:r>
      <w:r>
        <w:t xml:space="preserve">Abécédaire du traduire* : Intraduisible (Louis </w:t>
      </w:r>
      <w:proofErr w:type="spellStart"/>
      <w:r>
        <w:t>Watier</w:t>
      </w:r>
      <w:proofErr w:type="spellEnd"/>
      <w:r>
        <w:t xml:space="preserve">) ; Équivalence (Marie </w:t>
      </w:r>
      <w:proofErr w:type="spellStart"/>
      <w:r>
        <w:t>Vrinat-Nikolov</w:t>
      </w:r>
      <w:proofErr w:type="spellEnd"/>
      <w:r>
        <w:t>)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lastRenderedPageBreak/>
        <w:t xml:space="preserve">26/02/2020, salle 3.15 </w:t>
      </w:r>
      <w:r>
        <w:t>Laurent Mignon (Oxford, littératures ottomane et turque) et Gun-</w:t>
      </w:r>
      <w:proofErr w:type="spellStart"/>
      <w:r>
        <w:t>Britt</w:t>
      </w:r>
      <w:proofErr w:type="spellEnd"/>
      <w:r>
        <w:t xml:space="preserve"> </w:t>
      </w:r>
      <w:proofErr w:type="spellStart"/>
      <w:r>
        <w:t>Kohler</w:t>
      </w:r>
      <w:proofErr w:type="spellEnd"/>
      <w:r>
        <w:t xml:space="preserve"> (Oldenburg, littérature biélorusse)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t>25/03/2020,</w:t>
      </w:r>
      <w:r>
        <w:rPr>
          <w:b/>
          <w:bCs/>
        </w:rPr>
        <w:t xml:space="preserve"> salle 3.15 </w:t>
      </w:r>
      <w:r>
        <w:rPr>
          <w:color w:val="auto"/>
        </w:rPr>
        <w:t>Pierre-Etienne Royer : Les adaptations de Gogol ; Lili Tessier : Traduire le réseau intertextuel en littérature sud-coréenne contemporaine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t xml:space="preserve">29/04/2020, salle 3.15 :  </w:t>
      </w:r>
      <w:r>
        <w:t xml:space="preserve">Abécédaire du traduire : Philosophie ; Théorie (Alexis </w:t>
      </w:r>
      <w:proofErr w:type="spellStart"/>
      <w:r>
        <w:t>Nuselovici</w:t>
      </w:r>
      <w:proofErr w:type="spellEnd"/>
      <w:r>
        <w:t>, AMU)</w:t>
      </w:r>
    </w:p>
    <w:p w:rsidR="00D3159E" w:rsidRDefault="00E529BE">
      <w:pPr>
        <w:spacing w:line="360" w:lineRule="auto"/>
        <w:jc w:val="both"/>
      </w:pPr>
      <w:r>
        <w:rPr>
          <w:b/>
          <w:bCs/>
        </w:rPr>
        <w:t xml:space="preserve">27/05/2020, salle 3.15 : </w:t>
      </w:r>
      <w:r>
        <w:t xml:space="preserve">Abécédaire du traduire : Bible ; Poésie (Claire </w:t>
      </w:r>
      <w:proofErr w:type="spellStart"/>
      <w:r>
        <w:t>Placial</w:t>
      </w:r>
      <w:proofErr w:type="spellEnd"/>
      <w:r>
        <w:t>, université de Lorraine)</w:t>
      </w:r>
    </w:p>
    <w:p w:rsidR="00D3159E" w:rsidRDefault="00D3159E">
      <w:pPr>
        <w:spacing w:line="360" w:lineRule="auto"/>
        <w:jc w:val="center"/>
        <w:rPr>
          <w:b/>
          <w:bCs/>
          <w:color w:val="0066CC"/>
        </w:rPr>
      </w:pPr>
    </w:p>
    <w:p w:rsidR="00D3159E" w:rsidRDefault="00E529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L’abécédaire du traduire (titre encore provisoire) est un ouvrage réflexif, informatif et critique sur le traduire piloté par Alexis </w:t>
      </w:r>
      <w:proofErr w:type="spellStart"/>
      <w:r>
        <w:rPr>
          <w:sz w:val="22"/>
          <w:szCs w:val="22"/>
        </w:rPr>
        <w:t>Nuselovici</w:t>
      </w:r>
      <w:proofErr w:type="spellEnd"/>
      <w:r>
        <w:rPr>
          <w:sz w:val="22"/>
          <w:szCs w:val="22"/>
        </w:rPr>
        <w:t>, Ma</w:t>
      </w:r>
      <w:r>
        <w:rPr>
          <w:sz w:val="22"/>
          <w:szCs w:val="22"/>
        </w:rPr>
        <w:t xml:space="preserve">rie </w:t>
      </w:r>
      <w:proofErr w:type="spellStart"/>
      <w:r>
        <w:rPr>
          <w:sz w:val="22"/>
          <w:szCs w:val="22"/>
        </w:rPr>
        <w:t>Vrinat-Nikolov</w:t>
      </w:r>
      <w:proofErr w:type="spellEnd"/>
      <w:r>
        <w:rPr>
          <w:sz w:val="22"/>
          <w:szCs w:val="22"/>
        </w:rPr>
        <w:t xml:space="preserve"> et Louis </w:t>
      </w:r>
      <w:proofErr w:type="spellStart"/>
      <w:r>
        <w:rPr>
          <w:sz w:val="22"/>
          <w:szCs w:val="22"/>
        </w:rPr>
        <w:t>Watiez</w:t>
      </w:r>
      <w:proofErr w:type="spellEnd"/>
      <w:r>
        <w:rPr>
          <w:sz w:val="22"/>
          <w:szCs w:val="22"/>
        </w:rPr>
        <w:t>. Chaque séance sera l'occasion de présenter et de discuter deux entrées de l'ouvrage devant et avec les collègues présents.  Nous espérons beaucoup de cet échange !</w:t>
      </w:r>
    </w:p>
    <w:sectPr w:rsidR="00D3159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E"/>
    <w:rsid w:val="00D3159E"/>
    <w:rsid w:val="00E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E7F5-23B5-4151-BBD6-10D36BE3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WenQuanYi Micro Hei" w:hAnsi="Carlito" w:cs="Lohit Devanaga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Vrinat-Nikolov</dc:creator>
  <dc:description/>
  <cp:lastModifiedBy>Stéphane Londéro</cp:lastModifiedBy>
  <cp:revision>2</cp:revision>
  <dcterms:created xsi:type="dcterms:W3CDTF">2019-11-05T18:16:00Z</dcterms:created>
  <dcterms:modified xsi:type="dcterms:W3CDTF">2019-11-05T18:16:00Z</dcterms:modified>
  <dc:language>fr-FR</dc:language>
</cp:coreProperties>
</file>